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AD" w:rsidRDefault="000017AE" w:rsidP="00FF0C91">
      <w:pPr>
        <w:pStyle w:val="Title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8DD1B80" wp14:editId="3574F529">
            <wp:simplePos x="0" y="0"/>
            <wp:positionH relativeFrom="column">
              <wp:posOffset>4671115</wp:posOffset>
            </wp:positionH>
            <wp:positionV relativeFrom="paragraph">
              <wp:posOffset>-4142</wp:posOffset>
            </wp:positionV>
            <wp:extent cx="2041525" cy="6356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WCVP2013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52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C91" w:rsidRPr="00FF0C91">
        <w:t xml:space="preserve">Low Emission Bus Testing </w:t>
      </w:r>
    </w:p>
    <w:p w:rsidR="00632401" w:rsidRPr="00FF0C91" w:rsidRDefault="00FF0C91" w:rsidP="00FF0C91">
      <w:pPr>
        <w:pStyle w:val="Title"/>
      </w:pPr>
      <w:r w:rsidRPr="00FF0C91">
        <w:t>Guidance</w:t>
      </w:r>
      <w:r w:rsidR="00881AAD">
        <w:t xml:space="preserve"> for test houses</w:t>
      </w:r>
    </w:p>
    <w:p w:rsidR="00C861A7" w:rsidRDefault="00C861A7" w:rsidP="004E58AA">
      <w:pPr>
        <w:pStyle w:val="Heading1"/>
      </w:pPr>
      <w:r>
        <w:t>Objective</w:t>
      </w:r>
    </w:p>
    <w:p w:rsidR="00C861A7" w:rsidRPr="00C861A7" w:rsidRDefault="00C861A7" w:rsidP="00C861A7">
      <w:r>
        <w:t xml:space="preserve">The new Low Emission Bus test process has been designed in collaboration with industry, operators and government to provide a robust comparison of the operating performance (energy consumption and GHG impact) of all low carbon buses and to allow government support and operator information to be given. </w:t>
      </w:r>
    </w:p>
    <w:p w:rsidR="00632401" w:rsidRPr="004E58AA" w:rsidRDefault="004E58AA" w:rsidP="004E58AA">
      <w:pPr>
        <w:pStyle w:val="Heading1"/>
      </w:pPr>
      <w:r>
        <w:t>Introduction</w:t>
      </w:r>
    </w:p>
    <w:p w:rsidR="00FF0C91" w:rsidRDefault="00C861A7" w:rsidP="00FF0C91">
      <w:r>
        <w:t>In support of the new DfT/</w:t>
      </w:r>
      <w:r w:rsidR="00FF0C91">
        <w:t>OLEV Low Emissi</w:t>
      </w:r>
      <w:r w:rsidR="00D31581">
        <w:t>on Bus (LEB) Scheme, LowCVP has</w:t>
      </w:r>
      <w:r w:rsidR="00FF0C91">
        <w:t xml:space="preserve"> produced guidance</w:t>
      </w:r>
      <w:r w:rsidR="00D14206">
        <w:t xml:space="preserve"> notes</w:t>
      </w:r>
      <w:r w:rsidR="00FF0C91">
        <w:t xml:space="preserve"> for testing the range of technologies expected.</w:t>
      </w:r>
    </w:p>
    <w:p w:rsidR="00D14206" w:rsidRDefault="00D14206" w:rsidP="00FF0C91">
      <w:r>
        <w:t xml:space="preserve">These notes should be read in </w:t>
      </w:r>
      <w:r w:rsidR="00C861A7">
        <w:t>conjunction with the d</w:t>
      </w:r>
      <w:r>
        <w:t>etailed testing requirements previously published for LCEB testing and accreditation and available on the LowCVP website</w:t>
      </w:r>
      <w:r w:rsidR="00D31581">
        <w:t>.</w:t>
      </w:r>
    </w:p>
    <w:p w:rsidR="00FF0C91" w:rsidRDefault="00FF0C91" w:rsidP="00FF0C91">
      <w:r>
        <w:t xml:space="preserve">Please contact LowCVP </w:t>
      </w:r>
      <w:r w:rsidR="00D14206">
        <w:t>directly</w:t>
      </w:r>
      <w:r>
        <w:t xml:space="preserve"> if you have a technology not considered here or wish to gain further clarity on the test process detail.</w:t>
      </w:r>
    </w:p>
    <w:p w:rsidR="00FF0C91" w:rsidRDefault="00855933" w:rsidP="00FF0C91">
      <w:r>
        <w:t xml:space="preserve">All </w:t>
      </w:r>
      <w:r w:rsidR="00C658FD">
        <w:t>m</w:t>
      </w:r>
      <w:r>
        <w:t>anufacturers are encourage</w:t>
      </w:r>
      <w:r w:rsidR="00C658FD">
        <w:t>d</w:t>
      </w:r>
      <w:r>
        <w:t xml:space="preserve"> to test to the new LUB test cycle and any current requirement for BSOG LCEB validation will be extracted from this data.</w:t>
      </w:r>
    </w:p>
    <w:p w:rsidR="00855933" w:rsidRDefault="00855933" w:rsidP="00FF0C91">
      <w:r>
        <w:t>Key points:</w:t>
      </w:r>
    </w:p>
    <w:p w:rsidR="00855933" w:rsidRDefault="00855933" w:rsidP="00855933">
      <w:pPr>
        <w:pStyle w:val="Heading2"/>
      </w:pPr>
      <w:r>
        <w:t>Gas buses</w:t>
      </w:r>
    </w:p>
    <w:p w:rsidR="00855933" w:rsidRDefault="00D31581" w:rsidP="00FF0C91">
      <w:r>
        <w:t>Buses powered by g</w:t>
      </w:r>
      <w:r w:rsidR="00855933">
        <w:t xml:space="preserve">as or </w:t>
      </w:r>
      <w:r>
        <w:t>b</w:t>
      </w:r>
      <w:r w:rsidR="00855933">
        <w:t>iomethane should be tested over the complete LUB cycl</w:t>
      </w:r>
      <w:r>
        <w:t>e assuming they are run on grid-</w:t>
      </w:r>
      <w:r w:rsidR="00855933">
        <w:t>sourced CNG.  Biomethane suppliers should provide evidence of their fuel credentials to LowCVP for the final certificate to be published</w:t>
      </w:r>
    </w:p>
    <w:p w:rsidR="00855933" w:rsidRDefault="00855933" w:rsidP="00855933">
      <w:pPr>
        <w:pStyle w:val="Heading2"/>
      </w:pPr>
      <w:r>
        <w:t xml:space="preserve">Electric </w:t>
      </w:r>
      <w:r w:rsidR="00B672B3">
        <w:t>b</w:t>
      </w:r>
      <w:r>
        <w:t>uses</w:t>
      </w:r>
    </w:p>
    <w:p w:rsidR="00855933" w:rsidRDefault="00C658FD" w:rsidP="00855933">
      <w:r>
        <w:t>Buses powered by e</w:t>
      </w:r>
      <w:r w:rsidR="00855933">
        <w:t>lectricity only, should be tested over the complete LUB cycl</w:t>
      </w:r>
      <w:r w:rsidR="00915E8E">
        <w:t>e assuming they are run on grid-</w:t>
      </w:r>
      <w:r w:rsidR="00855933">
        <w:t>sourced electricity.  The total energy used should be measured an</w:t>
      </w:r>
      <w:r>
        <w:t>d a full charge completed with g</w:t>
      </w:r>
      <w:r w:rsidR="00855933">
        <w:t>rid energy measured to establish the charging efficiency.</w:t>
      </w:r>
    </w:p>
    <w:p w:rsidR="00855933" w:rsidRDefault="00855933" w:rsidP="00855933">
      <w:r>
        <w:t>Electric Range should also be measured by the test facility</w:t>
      </w:r>
      <w:r w:rsidR="00915E8E">
        <w:t>.</w:t>
      </w:r>
    </w:p>
    <w:p w:rsidR="00855933" w:rsidRDefault="00855933" w:rsidP="00855933">
      <w:pPr>
        <w:pStyle w:val="Heading2"/>
      </w:pPr>
      <w:r>
        <w:t>P</w:t>
      </w:r>
      <w:r w:rsidR="00915E8E">
        <w:t>lug-</w:t>
      </w:r>
      <w:r>
        <w:t xml:space="preserve">in hybrid </w:t>
      </w:r>
      <w:r w:rsidR="00B672B3">
        <w:t>b</w:t>
      </w:r>
      <w:r>
        <w:t>uses</w:t>
      </w:r>
    </w:p>
    <w:p w:rsidR="00855933" w:rsidRDefault="00855933" w:rsidP="00FF0C91">
      <w:r>
        <w:t>Manufacture</w:t>
      </w:r>
      <w:r w:rsidR="00915E8E">
        <w:t>r</w:t>
      </w:r>
      <w:r>
        <w:t>s should discuss the operatin</w:t>
      </w:r>
      <w:r w:rsidR="00915E8E">
        <w:t>g characteristic for their plug-</w:t>
      </w:r>
      <w:r>
        <w:t>in vehicles with the test house and / or LowCVP to ensure the optimum test process is adopted.</w:t>
      </w:r>
    </w:p>
    <w:p w:rsidR="00855933" w:rsidRDefault="00855933" w:rsidP="004E58AA">
      <w:pPr>
        <w:pStyle w:val="Heading2"/>
      </w:pPr>
      <w:r>
        <w:br w:type="page"/>
      </w:r>
    </w:p>
    <w:p w:rsidR="00FF0C91" w:rsidRPr="004E58AA" w:rsidRDefault="00FF0C91" w:rsidP="004E58AA">
      <w:pPr>
        <w:pStyle w:val="Heading2"/>
      </w:pPr>
      <w:r w:rsidRPr="004E58AA">
        <w:lastRenderedPageBreak/>
        <w:t>Test Cycle:</w:t>
      </w:r>
      <w:r w:rsidR="00855933">
        <w:t xml:space="preserve"> - New LUB (LowCVP </w:t>
      </w:r>
      <w:r w:rsidR="00B672B3">
        <w:t>UK</w:t>
      </w:r>
      <w:r w:rsidR="00855933">
        <w:t xml:space="preserve"> Bus) cycle</w:t>
      </w:r>
    </w:p>
    <w:p w:rsidR="00632401" w:rsidRDefault="00FF0C91" w:rsidP="00FF0C91">
      <w:r>
        <w:t xml:space="preserve">The LUB (LowCVP UK Bus) cycle will be used for all tests.  This was developed from the </w:t>
      </w:r>
      <w:r w:rsidR="00D9777C">
        <w:t>previous</w:t>
      </w:r>
      <w:r>
        <w:t xml:space="preserve"> MLTB (Millbrook London Transport Bus Cycle) used for all previous UK Bus s</w:t>
      </w:r>
      <w:r w:rsidR="00B672B3">
        <w:t>chemes, and the addition of a “r</w:t>
      </w:r>
      <w:r>
        <w:t>ural” phase of operation on the front of the test to represent typical UK driving operation</w:t>
      </w:r>
      <w:r w:rsidR="00F9228A">
        <w:t>.</w:t>
      </w:r>
    </w:p>
    <w:p w:rsidR="00BA510D" w:rsidRDefault="00B672B3" w:rsidP="00FF0C91">
      <w:r>
        <w:t>Warm-</w:t>
      </w:r>
      <w:r w:rsidR="00BA510D">
        <w:t>up of the vehicle will be done using the rural cycle phase t</w:t>
      </w:r>
      <w:r>
        <w:t>o ensure the vehicle is stabilis</w:t>
      </w:r>
      <w:r w:rsidR="00BA510D">
        <w:t>ed prior to test. Manufacturers and test houses can determine any additional warm-up requirements but the final element should be the rural phase.</w:t>
      </w:r>
    </w:p>
    <w:p w:rsidR="00E41FE3" w:rsidRDefault="00E41FE3" w:rsidP="00FF0C91">
      <w:r>
        <w:t xml:space="preserve">For </w:t>
      </w:r>
      <w:r w:rsidR="00B672B3">
        <w:t>plug-</w:t>
      </w:r>
      <w:r>
        <w:t xml:space="preserve">in vehicles, all </w:t>
      </w:r>
      <w:r w:rsidR="005F3C55">
        <w:t xml:space="preserve">battery </w:t>
      </w:r>
      <w:r>
        <w:t xml:space="preserve">energy consumed must be recorded (to enable accurate charging </w:t>
      </w:r>
      <w:r w:rsidR="005F3C55">
        <w:t xml:space="preserve">and net </w:t>
      </w:r>
      <w:r>
        <w:t>energy calculations)</w:t>
      </w:r>
      <w:r w:rsidR="005F3C55">
        <w:t>.  V</w:t>
      </w:r>
      <w:r>
        <w:t>ehicle</w:t>
      </w:r>
      <w:r w:rsidR="005F3C55">
        <w:t>s</w:t>
      </w:r>
      <w:r>
        <w:t xml:space="preserve"> may be run with no warm-up </w:t>
      </w:r>
      <w:r w:rsidR="005F3C55">
        <w:t>between tests if requested by the manufacturer</w:t>
      </w:r>
      <w:r w:rsidR="00B672B3">
        <w:t xml:space="preserve">. </w:t>
      </w:r>
    </w:p>
    <w:p w:rsidR="00FF0C91" w:rsidRDefault="00FF0C91" w:rsidP="00FF0C91"/>
    <w:p w:rsidR="00FF0C91" w:rsidRPr="004E58AA" w:rsidRDefault="00FF0C91" w:rsidP="004E58AA">
      <w:pPr>
        <w:pStyle w:val="Heading2"/>
      </w:pPr>
      <w:r w:rsidRPr="004E58AA">
        <w:t>Test weight:</w:t>
      </w:r>
      <w:r w:rsidR="00855933">
        <w:t xml:space="preserve"> -</w:t>
      </w:r>
      <w:r w:rsidR="005F3C55">
        <w:t xml:space="preserve"> 50% of seated capacity @ 68kg </w:t>
      </w:r>
      <w:r w:rsidR="00855933">
        <w:t>per pas</w:t>
      </w:r>
      <w:r w:rsidR="00C247C6">
        <w:t>s</w:t>
      </w:r>
      <w:r w:rsidR="00855933">
        <w:t>enger</w:t>
      </w:r>
    </w:p>
    <w:p w:rsidR="00FF0C91" w:rsidRDefault="00FF0C91" w:rsidP="00FF0C91">
      <w:r>
        <w:t xml:space="preserve">The test weight for </w:t>
      </w:r>
      <w:r w:rsidR="004E58AA">
        <w:t>t</w:t>
      </w:r>
      <w:r>
        <w:t>he vehicle is determined</w:t>
      </w:r>
      <w:r w:rsidR="004E58AA">
        <w:t xml:space="preserve"> by using the unladen</w:t>
      </w:r>
      <w:r>
        <w:t xml:space="preserve"> kerb weight </w:t>
      </w:r>
      <w:r w:rsidR="004E58AA">
        <w:t xml:space="preserve">(which must be declared and will be confirmed by the test facility) </w:t>
      </w:r>
      <w:r>
        <w:t>and adding 50% of the seated passenger capacity using a nominal 68kg per passenger.  This w</w:t>
      </w:r>
      <w:r w:rsidR="00C658FD">
        <w:t>as selected as consistent with b</w:t>
      </w:r>
      <w:r>
        <w:t>us regulations and TfL approach</w:t>
      </w:r>
      <w:r w:rsidR="004E58AA">
        <w:t>.</w:t>
      </w:r>
      <w:r w:rsidR="00B672B3">
        <w:t xml:space="preserve"> </w:t>
      </w:r>
    </w:p>
    <w:p w:rsidR="00C247C6" w:rsidRDefault="00C247C6" w:rsidP="00FF0C91">
      <w:r w:rsidRPr="00B672B3">
        <w:rPr>
          <w:u w:val="single"/>
        </w:rPr>
        <w:t>Note</w:t>
      </w:r>
      <w:r w:rsidR="00B672B3">
        <w:t>: T</w:t>
      </w:r>
      <w:r>
        <w:t>o allow some scope for specification variation, it is proposed tha</w:t>
      </w:r>
      <w:r w:rsidR="00B672B3">
        <w:t>t a vehicle can be tested at a s</w:t>
      </w:r>
      <w:r>
        <w:t>pecified seating configuration and that this test will cover variation of +</w:t>
      </w:r>
      <w:r w:rsidR="00B672B3">
        <w:t>/- 5 seats either way; i.e</w:t>
      </w:r>
      <w:r w:rsidR="00074CE0">
        <w:t>.</w:t>
      </w:r>
      <w:r>
        <w:t xml:space="preserve"> a bus with alternative seating from 40 to 50 seats would be tested at a single figure of 45 seats.</w:t>
      </w:r>
    </w:p>
    <w:p w:rsidR="00C247C6" w:rsidRDefault="00C247C6" w:rsidP="00FF0C91">
      <w:r w:rsidRPr="00B672B3">
        <w:rPr>
          <w:u w:val="single"/>
        </w:rPr>
        <w:t>Note</w:t>
      </w:r>
      <w:r w:rsidR="00B672B3">
        <w:rPr>
          <w:u w:val="single"/>
        </w:rPr>
        <w:t>:</w:t>
      </w:r>
      <w:r>
        <w:t xml:space="preserve"> Seating capacity </w:t>
      </w:r>
      <w:r w:rsidR="005109E6">
        <w:t>cannot</w:t>
      </w:r>
      <w:r>
        <w:t xml:space="preserve"> be less than 50% of total passenger capacity</w:t>
      </w:r>
      <w:r w:rsidR="00B672B3">
        <w:t xml:space="preserve">. </w:t>
      </w:r>
    </w:p>
    <w:p w:rsidR="00BA510D" w:rsidRDefault="00BA510D" w:rsidP="004E58AA">
      <w:pPr>
        <w:pStyle w:val="Heading2"/>
      </w:pPr>
    </w:p>
    <w:p w:rsidR="00BA510D" w:rsidRDefault="00BA510D" w:rsidP="004E58AA">
      <w:pPr>
        <w:pStyle w:val="Heading2"/>
      </w:pPr>
      <w:r>
        <w:t>Dynamometer Setting</w:t>
      </w:r>
      <w:r w:rsidR="00C658FD">
        <w:t>:</w:t>
      </w:r>
      <w:r w:rsidR="00855933">
        <w:t xml:space="preserve"> – Coastdown test required</w:t>
      </w:r>
    </w:p>
    <w:p w:rsidR="00BA510D" w:rsidRDefault="00BA510D" w:rsidP="00BA510D">
      <w:r>
        <w:t>Chassis dynamometers shoul</w:t>
      </w:r>
      <w:r w:rsidR="00852424">
        <w:t>d be set using road load data f</w:t>
      </w:r>
      <w:r>
        <w:t>r</w:t>
      </w:r>
      <w:r w:rsidR="00852424">
        <w:t>o</w:t>
      </w:r>
      <w:r>
        <w:t>m coastdown testing.  LowCVP recommend</w:t>
      </w:r>
      <w:r w:rsidR="00B672B3">
        <w:t>s</w:t>
      </w:r>
      <w:r>
        <w:t xml:space="preserve"> that all LEB vehicles undergo new coastdowns as the dat</w:t>
      </w:r>
      <w:r w:rsidR="00B672B3">
        <w:t>a</w:t>
      </w:r>
      <w:r>
        <w:t xml:space="preserve"> from previous work may not cover the higher speed of the rural cycle which could adversely affect the results.</w:t>
      </w:r>
    </w:p>
    <w:p w:rsidR="004E58AA" w:rsidRDefault="004E58AA" w:rsidP="00BA510D">
      <w:pPr>
        <w:pStyle w:val="Heading2"/>
      </w:pPr>
      <w:r>
        <w:t>Test fuel</w:t>
      </w:r>
      <w:r w:rsidR="00C658FD">
        <w:t>:</w:t>
      </w:r>
      <w:r w:rsidR="00B672B3">
        <w:t xml:space="preserve"> – Assume g</w:t>
      </w:r>
      <w:r w:rsidR="00855933">
        <w:t>rid or conventional fuel used for test</w:t>
      </w:r>
    </w:p>
    <w:p w:rsidR="004E58AA" w:rsidRDefault="004E58AA" w:rsidP="00FF0C91">
      <w:r>
        <w:t>Vehicle</w:t>
      </w:r>
      <w:r w:rsidR="00B672B3">
        <w:t>s</w:t>
      </w:r>
      <w:r>
        <w:t xml:space="preserve"> should be tested on market available fuel unless specifically requested to use a bespoke fuel, in which case a sample of fuel will be taken and stored by the test facility.</w:t>
      </w:r>
    </w:p>
    <w:p w:rsidR="004E58AA" w:rsidRDefault="004E58AA" w:rsidP="00FF0C91">
      <w:r>
        <w:t>Gas powered vehicles should declare the specification of gas being used for test and the recent fill locations</w:t>
      </w:r>
      <w:r w:rsidR="00B672B3">
        <w:t>.</w:t>
      </w:r>
    </w:p>
    <w:p w:rsidR="004E58AA" w:rsidRDefault="004E58AA" w:rsidP="00FF0C91">
      <w:r>
        <w:t>The specification of fuel used for test (and for calculating fuel consumption figures) will be stated by the test facility.</w:t>
      </w:r>
    </w:p>
    <w:p w:rsidR="004E58AA" w:rsidRDefault="004E58AA" w:rsidP="00742B0D">
      <w:pPr>
        <w:pStyle w:val="Heading2"/>
      </w:pPr>
      <w:r>
        <w:lastRenderedPageBreak/>
        <w:t xml:space="preserve">Non plug-in </w:t>
      </w:r>
      <w:r w:rsidR="00BA510D">
        <w:t>vehicles</w:t>
      </w:r>
      <w:r w:rsidR="00C658FD">
        <w:t>: - 3 repeat tests to give average result</w:t>
      </w:r>
    </w:p>
    <w:p w:rsidR="004E58AA" w:rsidRDefault="00BA510D" w:rsidP="00FF0C91">
      <w:r>
        <w:t>Non plug-in vehicles will be tested over the LUB cycle a minimum of 3 times to give statistical confidence in the results obtained.  Hybrid sy</w:t>
      </w:r>
      <w:r w:rsidR="00D14206">
        <w:t xml:space="preserve">stems will be monitored and </w:t>
      </w:r>
      <w:r w:rsidR="00B672B3">
        <w:t>n</w:t>
      </w:r>
      <w:r w:rsidR="00D14206">
        <w:t>et</w:t>
      </w:r>
      <w:r>
        <w:t xml:space="preserve"> energy change corrected </w:t>
      </w:r>
      <w:r w:rsidR="00D14206">
        <w:t>as per the procedure def</w:t>
      </w:r>
      <w:r w:rsidR="005C2DD7">
        <w:t>ined</w:t>
      </w:r>
      <w:r w:rsidR="00D14206">
        <w:t xml:space="preserve"> in the detailed testing documents</w:t>
      </w:r>
      <w:r w:rsidR="005C2DD7">
        <w:t>.</w:t>
      </w:r>
    </w:p>
    <w:p w:rsidR="00881AAD" w:rsidRDefault="00881AAD" w:rsidP="00881AAD">
      <w:pPr>
        <w:pStyle w:val="Heading2"/>
      </w:pPr>
      <w:r>
        <w:t>Zero emission buses</w:t>
      </w:r>
      <w:r w:rsidR="005C2DD7">
        <w:t>:</w:t>
      </w:r>
      <w:r w:rsidR="00FF716E">
        <w:t xml:space="preserve"> – </w:t>
      </w:r>
      <w:r w:rsidR="006C2798">
        <w:t>Range</w:t>
      </w:r>
      <w:r w:rsidR="00FF716E">
        <w:t xml:space="preserve"> and energy consumption </w:t>
      </w:r>
      <w:r w:rsidR="00C658FD">
        <w:t xml:space="preserve">measurement </w:t>
      </w:r>
      <w:r w:rsidR="00FF716E">
        <w:t>required</w:t>
      </w:r>
    </w:p>
    <w:p w:rsidR="00881AAD" w:rsidRDefault="00852424" w:rsidP="00FF0C91">
      <w:r>
        <w:t>Buses</w:t>
      </w:r>
      <w:r w:rsidR="00881AAD">
        <w:t xml:space="preserve"> fueled exclusively with </w:t>
      </w:r>
      <w:r w:rsidR="005C2DD7">
        <w:t>e</w:t>
      </w:r>
      <w:r w:rsidR="00881AAD">
        <w:t>lectri</w:t>
      </w:r>
      <w:r w:rsidR="005C2DD7">
        <w:t>city or Hydrogen will be testing</w:t>
      </w:r>
      <w:r w:rsidR="00881AAD">
        <w:t xml:space="preserve"> over the LUB cycle to give accurate energy consumption over the complete cycle.  </w:t>
      </w:r>
      <w:r w:rsidR="00C658FD">
        <w:t xml:space="preserve"> A</w:t>
      </w:r>
      <w:r>
        <w:t xml:space="preserve"> minimum of </w:t>
      </w:r>
      <w:r w:rsidR="00881AAD">
        <w:t xml:space="preserve">3 </w:t>
      </w:r>
      <w:r w:rsidR="005F3C55">
        <w:t>test cycles</w:t>
      </w:r>
      <w:r w:rsidR="00881AAD">
        <w:t xml:space="preserve"> will be conducted.  EV range will be determined either through repeat test cycles </w:t>
      </w:r>
      <w:r w:rsidR="005F3C55">
        <w:t xml:space="preserve">to depletion </w:t>
      </w:r>
      <w:r w:rsidR="00881AAD">
        <w:t>or via interpolation of SOC data and manufacturer declared battery operating characteristics.  DfT retain</w:t>
      </w:r>
      <w:r w:rsidR="005C2DD7">
        <w:t>s</w:t>
      </w:r>
      <w:r w:rsidR="00881AAD">
        <w:t xml:space="preserve"> the option to formally verify EV range at </w:t>
      </w:r>
      <w:r w:rsidR="005C2DD7">
        <w:t>its</w:t>
      </w:r>
      <w:r w:rsidR="00881AAD">
        <w:t xml:space="preserve"> discretion.</w:t>
      </w:r>
    </w:p>
    <w:p w:rsidR="00FF716E" w:rsidRDefault="00FF716E" w:rsidP="00742B0D">
      <w:pPr>
        <w:pStyle w:val="Heading2"/>
      </w:pPr>
    </w:p>
    <w:p w:rsidR="00D14206" w:rsidRDefault="00D14206" w:rsidP="00FF716E">
      <w:pPr>
        <w:pStyle w:val="Heading1"/>
      </w:pPr>
      <w:r>
        <w:t xml:space="preserve">Zero Emission Capable </w:t>
      </w:r>
      <w:r w:rsidR="00852424">
        <w:t xml:space="preserve">(ZEC) </w:t>
      </w:r>
      <w:r>
        <w:t>Buses</w:t>
      </w:r>
      <w:r w:rsidR="00FF716E">
        <w:tab/>
      </w:r>
    </w:p>
    <w:p w:rsidR="00D14206" w:rsidRDefault="00D14206" w:rsidP="00FF0C91">
      <w:r>
        <w:t>A bus which has a zero emission operating mode and can complete the full inner London phase of the test (2.5km) in this mode without additio</w:t>
      </w:r>
      <w:r w:rsidR="005C2DD7">
        <w:t>nal charging can be defined as z</w:t>
      </w:r>
      <w:r>
        <w:t>ero emission capable.</w:t>
      </w:r>
      <w:r w:rsidR="00881AAD" w:rsidRPr="00881AAD">
        <w:rPr>
          <w:i/>
        </w:rPr>
        <w:t xml:space="preserve"> </w:t>
      </w:r>
      <w:r w:rsidR="00881AAD">
        <w:rPr>
          <w:i/>
        </w:rPr>
        <w:t>If the ZE mode is limited operation (</w:t>
      </w:r>
      <w:r w:rsidR="005109E6">
        <w:rPr>
          <w:i/>
        </w:rPr>
        <w:t>i.e.</w:t>
      </w:r>
      <w:r w:rsidR="00881AAD">
        <w:rPr>
          <w:i/>
        </w:rPr>
        <w:t xml:space="preserve"> speed limited) the full cycle should be run and modal emission</w:t>
      </w:r>
      <w:r w:rsidR="00852424">
        <w:rPr>
          <w:i/>
        </w:rPr>
        <w:t>s</w:t>
      </w:r>
      <w:r w:rsidR="00881AAD">
        <w:rPr>
          <w:i/>
        </w:rPr>
        <w:t xml:space="preserve"> and energy data recorded for subsequent analysis.</w:t>
      </w:r>
    </w:p>
    <w:p w:rsidR="00D14206" w:rsidRDefault="00C658FD" w:rsidP="00742B0D">
      <w:pPr>
        <w:pStyle w:val="Heading2"/>
      </w:pPr>
      <w:r>
        <w:t>Zero emission range</w:t>
      </w:r>
      <w:r w:rsidR="005109E6">
        <w:t>: -</w:t>
      </w:r>
      <w:r>
        <w:t xml:space="preserve"> Minimum 2.5km</w:t>
      </w:r>
    </w:p>
    <w:p w:rsidR="00742B0D" w:rsidRDefault="00D14206" w:rsidP="00FF0C91">
      <w:r>
        <w:t xml:space="preserve">To determine the ZE range of a ZEC bus, the vehicle will be testing over the LUB cycle (or phases thereof) from a fully charged condition until either </w:t>
      </w:r>
      <w:r w:rsidR="006C2798">
        <w:t>4 LUB cycles</w:t>
      </w:r>
      <w:r>
        <w:t xml:space="preserve"> have been travelled or </w:t>
      </w:r>
      <w:r w:rsidR="00742B0D">
        <w:t>the battery is depleted and the conventional engine starts.</w:t>
      </w:r>
    </w:p>
    <w:p w:rsidR="00FF716E" w:rsidRDefault="00742B0D" w:rsidP="00FF716E">
      <w:r>
        <w:t>Battery SOC and energy flow will be measured on all ZEC buses and may be used to determine ZE range if beyond 25km.</w:t>
      </w:r>
    </w:p>
    <w:p w:rsidR="000017AE" w:rsidRDefault="000017AE" w:rsidP="007A70DD">
      <w:pPr>
        <w:pStyle w:val="Heading2"/>
      </w:pPr>
      <w:r>
        <w:t>Advanced ZEC hybrid buses (n</w:t>
      </w:r>
      <w:r w:rsidR="005109E6">
        <w:t>on plug-</w:t>
      </w:r>
      <w:r>
        <w:t>in)</w:t>
      </w:r>
    </w:p>
    <w:p w:rsidR="000017AE" w:rsidRPr="000017AE" w:rsidRDefault="000017AE" w:rsidP="000017AE">
      <w:r>
        <w:t>Vehicles with advanced ZE capabilities which operate as hybrids (no off board charging) may be controlled to operate in ZE mode for a specific portion of the cycle. Multiple test</w:t>
      </w:r>
      <w:r w:rsidR="00C658FD">
        <w:t>s</w:t>
      </w:r>
      <w:r>
        <w:t xml:space="preserve"> should be run with energy measurement and correction for zero </w:t>
      </w:r>
      <w:r w:rsidR="005109E6">
        <w:t>net</w:t>
      </w:r>
      <w:r>
        <w:t xml:space="preserve"> energy change may be required.</w:t>
      </w:r>
    </w:p>
    <w:p w:rsidR="00742B0D" w:rsidRDefault="00742B0D" w:rsidP="007A70DD">
      <w:pPr>
        <w:pStyle w:val="Heading2"/>
      </w:pPr>
      <w:r>
        <w:t>Determination of WTW GHG</w:t>
      </w:r>
      <w:r w:rsidR="007A70DD">
        <w:t xml:space="preserve"> and energy</w:t>
      </w:r>
      <w:r>
        <w:t xml:space="preserve"> for plug-in hybrid vehicles</w:t>
      </w:r>
    </w:p>
    <w:p w:rsidR="00852424" w:rsidRPr="000017AE" w:rsidRDefault="00BD17CF" w:rsidP="00FF0C91">
      <w:r w:rsidRPr="000017AE">
        <w:t>Plug</w:t>
      </w:r>
      <w:r w:rsidR="005C2DD7">
        <w:t>-</w:t>
      </w:r>
      <w:r w:rsidRPr="000017AE">
        <w:t xml:space="preserve">in vehicles </w:t>
      </w:r>
      <w:r w:rsidR="007A70DD" w:rsidRPr="000017AE">
        <w:t xml:space="preserve">will be </w:t>
      </w:r>
      <w:r w:rsidRPr="000017AE">
        <w:t>tested in two modes.</w:t>
      </w:r>
    </w:p>
    <w:p w:rsidR="007A70DD" w:rsidRPr="000017AE" w:rsidRDefault="00852424" w:rsidP="00FF0C91">
      <w:r w:rsidRPr="000017AE">
        <w:t>1. E</w:t>
      </w:r>
      <w:r w:rsidR="00BD17CF" w:rsidRPr="000017AE">
        <w:t>ng</w:t>
      </w:r>
      <w:r w:rsidRPr="000017AE">
        <w:t xml:space="preserve">ine mode (depleted battery) 2. </w:t>
      </w:r>
      <w:r w:rsidR="00BD17CF" w:rsidRPr="000017AE">
        <w:t>ZE mode (from full battery).  If the ZE mode is limited operation (</w:t>
      </w:r>
      <w:r w:rsidR="005109E6" w:rsidRPr="000017AE">
        <w:t>i.e.</w:t>
      </w:r>
      <w:r w:rsidR="00BD17CF" w:rsidRPr="000017AE">
        <w:t xml:space="preserve"> speed limited) the full cycle should be run and modal emission and energy data recorded for subsequent analysis</w:t>
      </w:r>
      <w:r w:rsidR="007A70DD" w:rsidRPr="000017AE">
        <w:t>.</w:t>
      </w:r>
    </w:p>
    <w:p w:rsidR="00B8491F" w:rsidRDefault="007A70DD" w:rsidP="00FF0C91">
      <w:r w:rsidRPr="000017AE">
        <w:t xml:space="preserve">The ZE mode will be run over a maximum of 4 repeated LUB cycles.  If the vehicle is able to complete this in ZE mode </w:t>
      </w:r>
      <w:r w:rsidR="00FF716E" w:rsidRPr="000017AE">
        <w:t xml:space="preserve">without charging </w:t>
      </w:r>
      <w:r w:rsidRPr="000017AE">
        <w:t>it will be assumed to ope</w:t>
      </w:r>
      <w:r w:rsidR="000017AE">
        <w:t>rate as a fully z</w:t>
      </w:r>
      <w:r w:rsidRPr="000017AE">
        <w:t>ero emission bus</w:t>
      </w:r>
      <w:r w:rsidR="005C2DD7">
        <w:t xml:space="preserve">. </w:t>
      </w:r>
    </w:p>
    <w:p w:rsidR="005C2DD7" w:rsidRPr="000017AE" w:rsidRDefault="005C2DD7" w:rsidP="00FF0C91"/>
    <w:p w:rsidR="000017AE" w:rsidRDefault="000017AE" w:rsidP="000017AE">
      <w:r>
        <w:lastRenderedPageBreak/>
        <w:t>Energy to recharge any battery should be determined as for a pure EV bus</w:t>
      </w:r>
      <w:r w:rsidR="00FB6991">
        <w:t>.</w:t>
      </w:r>
    </w:p>
    <w:p w:rsidR="00FB6991" w:rsidRDefault="00FB6991" w:rsidP="000017AE">
      <w:r>
        <w:t>The standard journey (distance between charges) used to calculate GHG performance, will be assumed to be 4 LUB cycles (66km).  If this is not appropriate, manufacturers should provide evidence of specific operating and charging regimes for DfT/LowCVP consideration</w:t>
      </w:r>
      <w:r w:rsidR="005F3C55">
        <w:t>.</w:t>
      </w:r>
    </w:p>
    <w:p w:rsidR="006C2798" w:rsidRDefault="006C2798" w:rsidP="00520E6E">
      <w:pPr>
        <w:pStyle w:val="Heading1"/>
      </w:pPr>
      <w:r>
        <w:br w:type="page"/>
      </w:r>
    </w:p>
    <w:p w:rsidR="00B8491F" w:rsidRDefault="00B8491F" w:rsidP="00520E6E">
      <w:pPr>
        <w:pStyle w:val="Heading1"/>
      </w:pPr>
      <w:r>
        <w:lastRenderedPageBreak/>
        <w:t>Setting the LEB target:</w:t>
      </w:r>
    </w:p>
    <w:p w:rsidR="00520E6E" w:rsidRDefault="00B8491F" w:rsidP="00520E6E">
      <w:pPr>
        <w:pStyle w:val="Heading2"/>
      </w:pPr>
      <w:r>
        <w:t>Correlating MLTB to LUB cycle –</w:t>
      </w:r>
      <w:r w:rsidR="00520E6E">
        <w:t xml:space="preserve"> Factor to use 89%</w:t>
      </w:r>
    </w:p>
    <w:p w:rsidR="00B8491F" w:rsidRDefault="00B8491F" w:rsidP="00520E6E">
      <w:pPr>
        <w:ind w:left="360"/>
      </w:pPr>
      <w:r>
        <w:t xml:space="preserve">From </w:t>
      </w:r>
      <w:r w:rsidR="005C2DD7">
        <w:t>7 d</w:t>
      </w:r>
      <w:r w:rsidR="00520E6E">
        <w:t xml:space="preserve">iesel </w:t>
      </w:r>
      <w:r>
        <w:t>vehicles tested</w:t>
      </w:r>
      <w:r w:rsidR="005C2DD7">
        <w:t xml:space="preserve"> (h</w:t>
      </w:r>
      <w:r w:rsidR="00520E6E">
        <w:t>ybrid and conventional) LUB gives CO2 levels consistently at 89% of MLTB.</w:t>
      </w:r>
    </w:p>
    <w:p w:rsidR="00520E6E" w:rsidRDefault="00520E6E" w:rsidP="00520E6E">
      <w:pPr>
        <w:ind w:left="360"/>
      </w:pPr>
      <w:r>
        <w:rPr>
          <w:noProof/>
          <w:lang w:val="en-GB" w:eastAsia="en-GB"/>
        </w:rPr>
        <w:drawing>
          <wp:inline distT="0" distB="0" distL="0" distR="0" wp14:anchorId="55DE7E81" wp14:editId="4A7A39F0">
            <wp:extent cx="5943600" cy="3884930"/>
            <wp:effectExtent l="0" t="0" r="0" b="12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491F" w:rsidRDefault="00B8491F" w:rsidP="00B8491F">
      <w:pPr>
        <w:pStyle w:val="ListParagraph"/>
      </w:pPr>
    </w:p>
    <w:p w:rsidR="00520E6E" w:rsidRDefault="00520E6E" w:rsidP="00B8491F">
      <w:pPr>
        <w:pStyle w:val="ListParagraph"/>
      </w:pPr>
    </w:p>
    <w:p w:rsidR="00172C0D" w:rsidRDefault="00172C0D">
      <w:r>
        <w:br w:type="page"/>
      </w:r>
    </w:p>
    <w:p w:rsidR="00172C0D" w:rsidRDefault="00172C0D" w:rsidP="00172C0D">
      <w:pPr>
        <w:pStyle w:val="Heading2"/>
      </w:pPr>
      <w:r>
        <w:lastRenderedPageBreak/>
        <w:t>Establishing the Euro V conventional baseline – ‘Best’ practice line</w:t>
      </w:r>
    </w:p>
    <w:p w:rsidR="00172C0D" w:rsidRDefault="00172C0D" w:rsidP="00B8491F">
      <w:pPr>
        <w:pStyle w:val="ListParagraph"/>
      </w:pPr>
      <w:r>
        <w:t>Using LowCVP and TfL test data, appropriate compromise line identified</w:t>
      </w:r>
    </w:p>
    <w:p w:rsidR="00172C0D" w:rsidRDefault="00172C0D" w:rsidP="00B8491F">
      <w:pPr>
        <w:pStyle w:val="ListParagraph"/>
      </w:pPr>
      <w:r w:rsidRPr="005C2DD7">
        <w:rPr>
          <w:u w:val="single"/>
        </w:rPr>
        <w:t>Note</w:t>
      </w:r>
      <w:r w:rsidR="005C2DD7">
        <w:rPr>
          <w:u w:val="single"/>
        </w:rPr>
        <w:t>:</w:t>
      </w:r>
      <w:r>
        <w:t xml:space="preserve"> </w:t>
      </w:r>
      <w:r w:rsidR="005C2DD7">
        <w:t>S</w:t>
      </w:r>
      <w:r>
        <w:t>ome “</w:t>
      </w:r>
      <w:r w:rsidR="004C76ED">
        <w:t>conventional</w:t>
      </w:r>
      <w:r w:rsidR="00A42336">
        <w:t>”</w:t>
      </w:r>
      <w:r>
        <w:t xml:space="preserve"> </w:t>
      </w:r>
      <w:r w:rsidR="004C76ED">
        <w:t>vehicles</w:t>
      </w:r>
      <w:r>
        <w:t xml:space="preserve"> had mild levels of hybrid and were </w:t>
      </w:r>
      <w:r w:rsidR="004C76ED">
        <w:t>deemed</w:t>
      </w:r>
      <w:r>
        <w:t xml:space="preserve"> too low.  Several larger vehicles are heavy single deck and deemed too high</w:t>
      </w:r>
      <w:r w:rsidR="004C76ED">
        <w:t>.</w:t>
      </w:r>
    </w:p>
    <w:p w:rsidR="004C76ED" w:rsidRDefault="004C76ED" w:rsidP="00B8491F">
      <w:pPr>
        <w:pStyle w:val="ListParagraph"/>
      </w:pPr>
      <w:r>
        <w:t xml:space="preserve">LowCVP took </w:t>
      </w:r>
      <w:r w:rsidR="005F3C55">
        <w:t xml:space="preserve">a </w:t>
      </w:r>
      <w:r>
        <w:t>view that new baseline could not exceed old Euro III assumed baseline.</w:t>
      </w:r>
    </w:p>
    <w:p w:rsidR="00172C0D" w:rsidRDefault="00172C0D" w:rsidP="00B8491F">
      <w:pPr>
        <w:pStyle w:val="ListParagraph"/>
      </w:pPr>
      <w:r>
        <w:t>Compromise approach based on previous data and target lines together with LEB objectives</w:t>
      </w:r>
      <w:r w:rsidR="00A42336">
        <w:t>.</w:t>
      </w:r>
    </w:p>
    <w:p w:rsidR="00A42336" w:rsidRDefault="00A42336" w:rsidP="00B8491F">
      <w:pPr>
        <w:pStyle w:val="ListParagraph"/>
      </w:pPr>
    </w:p>
    <w:p w:rsidR="00A42336" w:rsidRDefault="00A42336" w:rsidP="00B8491F">
      <w:pPr>
        <w:pStyle w:val="ListParagraph"/>
      </w:pPr>
      <w:r>
        <w:t xml:space="preserve">Baseline established which reflects greater progress made on smaller single deck than on </w:t>
      </w:r>
      <w:r w:rsidR="005109E6">
        <w:t>double</w:t>
      </w:r>
      <w:r>
        <w:t xml:space="preserve"> deck/large single</w:t>
      </w:r>
      <w:r w:rsidR="005C2DD7">
        <w:t>.</w:t>
      </w:r>
    </w:p>
    <w:p w:rsidR="00172C0D" w:rsidRPr="00A42336" w:rsidRDefault="004C76ED" w:rsidP="00FF716E">
      <w:pPr>
        <w:pStyle w:val="Heading1"/>
      </w:pPr>
      <w:r w:rsidRPr="00A42336">
        <w:t xml:space="preserve">Euro V </w:t>
      </w:r>
      <w:r w:rsidR="00A42336">
        <w:t xml:space="preserve">baseline </w:t>
      </w:r>
      <w:r w:rsidRPr="00A42336">
        <w:t>WTW CO</w:t>
      </w:r>
      <w:r w:rsidRPr="009D69B5">
        <w:rPr>
          <w:vertAlign w:val="subscript"/>
        </w:rPr>
        <w:t>2</w:t>
      </w:r>
      <w:r w:rsidRPr="00A42336">
        <w:t xml:space="preserve"> = 480 + 9.42</w:t>
      </w:r>
      <w:r w:rsidR="00172C0D" w:rsidRPr="00A42336">
        <w:t xml:space="preserve"> x Pax</w:t>
      </w:r>
    </w:p>
    <w:p w:rsidR="00172C0D" w:rsidRDefault="00172C0D" w:rsidP="00B8491F">
      <w:pPr>
        <w:pStyle w:val="ListParagraph"/>
      </w:pPr>
    </w:p>
    <w:p w:rsidR="00172C0D" w:rsidRDefault="004C76ED" w:rsidP="00172C0D">
      <w:pPr>
        <w:pStyle w:val="ListParagraph"/>
        <w:ind w:left="0"/>
      </w:pPr>
      <w:r>
        <w:rPr>
          <w:noProof/>
          <w:lang w:val="en-GB" w:eastAsia="en-GB"/>
        </w:rPr>
        <w:drawing>
          <wp:inline distT="0" distB="0" distL="0" distR="0" wp14:anchorId="556421DC">
            <wp:extent cx="6070821" cy="3969001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854" cy="397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C0D" w:rsidRDefault="00172C0D" w:rsidP="00172C0D">
      <w:pPr>
        <w:pStyle w:val="ListParagraph"/>
        <w:ind w:left="0"/>
      </w:pPr>
    </w:p>
    <w:p w:rsidR="004C76ED" w:rsidRDefault="004C76ED">
      <w:pPr>
        <w:rPr>
          <w:rFonts w:asciiTheme="majorHAnsi" w:eastAsiaTheme="majorEastAsia" w:hAnsiTheme="majorHAnsi" w:cstheme="majorBidi"/>
          <w:b/>
          <w:color w:val="404040" w:themeColor="text1" w:themeTint="BF"/>
          <w:sz w:val="24"/>
          <w:szCs w:val="24"/>
        </w:rPr>
      </w:pPr>
      <w:r>
        <w:br w:type="page"/>
      </w:r>
    </w:p>
    <w:p w:rsidR="00172C0D" w:rsidRDefault="00172C0D" w:rsidP="00172C0D">
      <w:pPr>
        <w:pStyle w:val="Heading2"/>
      </w:pPr>
      <w:r>
        <w:lastRenderedPageBreak/>
        <w:t>LEB tar</w:t>
      </w:r>
      <w:r w:rsidR="00421BB5">
        <w:t>get defined as 15% better than d</w:t>
      </w:r>
      <w:r>
        <w:t>iesel conventional.</w:t>
      </w:r>
    </w:p>
    <w:p w:rsidR="00A42336" w:rsidRDefault="00A42336" w:rsidP="00172C0D">
      <w:pPr>
        <w:pStyle w:val="ListParagraph"/>
        <w:ind w:left="0"/>
        <w:rPr>
          <w:b/>
        </w:rPr>
      </w:pPr>
    </w:p>
    <w:p w:rsidR="00172C0D" w:rsidRPr="00A42336" w:rsidRDefault="00172C0D" w:rsidP="00172C0D">
      <w:pPr>
        <w:pStyle w:val="ListParagraph"/>
        <w:ind w:left="0"/>
        <w:rPr>
          <w:b/>
        </w:rPr>
      </w:pPr>
      <w:r w:rsidRPr="00A42336">
        <w:rPr>
          <w:b/>
        </w:rPr>
        <w:t>LEB t</w:t>
      </w:r>
      <w:r w:rsidR="004C76ED" w:rsidRPr="00A42336">
        <w:rPr>
          <w:b/>
        </w:rPr>
        <w:t xml:space="preserve">arget line WTW </w:t>
      </w:r>
      <w:r w:rsidR="009D69B5" w:rsidRPr="00A42336">
        <w:rPr>
          <w:b/>
        </w:rPr>
        <w:t>CO</w:t>
      </w:r>
      <w:r w:rsidR="009D69B5" w:rsidRPr="009D69B5">
        <w:rPr>
          <w:b/>
          <w:vertAlign w:val="subscript"/>
        </w:rPr>
        <w:t>2</w:t>
      </w:r>
      <w:r w:rsidR="009D69B5" w:rsidRPr="00A42336">
        <w:rPr>
          <w:b/>
        </w:rPr>
        <w:t xml:space="preserve"> =</w:t>
      </w:r>
      <w:r w:rsidR="004C76ED" w:rsidRPr="00A42336">
        <w:rPr>
          <w:b/>
        </w:rPr>
        <w:t xml:space="preserve"> 408 + 8.00</w:t>
      </w:r>
      <w:r w:rsidRPr="00A42336">
        <w:rPr>
          <w:b/>
        </w:rPr>
        <w:t xml:space="preserve"> x Pax</w:t>
      </w:r>
    </w:p>
    <w:p w:rsidR="00A42336" w:rsidRDefault="00A42336" w:rsidP="00172C0D">
      <w:pPr>
        <w:pStyle w:val="ListParagraph"/>
        <w:ind w:left="0"/>
      </w:pPr>
    </w:p>
    <w:p w:rsidR="00A42336" w:rsidRDefault="00421BB5" w:rsidP="00172C0D">
      <w:pPr>
        <w:pStyle w:val="ListParagraph"/>
        <w:ind w:left="0"/>
      </w:pPr>
      <w:r>
        <w:t>All h</w:t>
      </w:r>
      <w:r w:rsidR="004C76ED">
        <w:t>ybrids tested meet LEB status</w:t>
      </w:r>
      <w:r w:rsidR="00A42336">
        <w:t xml:space="preserve">, with clear margin, however several were at prototype stage and </w:t>
      </w:r>
      <w:r>
        <w:t>t</w:t>
      </w:r>
      <w:r w:rsidR="00A42336">
        <w:t>est mass has been revised slightly from pilot testing, so some movement is expected for certifica</w:t>
      </w:r>
      <w:r>
        <w:t>tion.</w:t>
      </w:r>
      <w:bookmarkStart w:id="0" w:name="_GoBack"/>
      <w:bookmarkEnd w:id="0"/>
    </w:p>
    <w:p w:rsidR="004C76ED" w:rsidRDefault="004C76ED" w:rsidP="00172C0D">
      <w:pPr>
        <w:pStyle w:val="ListParagraph"/>
        <w:ind w:left="0"/>
      </w:pPr>
    </w:p>
    <w:p w:rsidR="004C76ED" w:rsidRPr="00B8491F" w:rsidRDefault="004C76ED" w:rsidP="00172C0D">
      <w:pPr>
        <w:pStyle w:val="ListParagraph"/>
        <w:ind w:left="0"/>
      </w:pPr>
      <w:r>
        <w:rPr>
          <w:noProof/>
          <w:lang w:val="en-GB" w:eastAsia="en-GB"/>
        </w:rPr>
        <w:drawing>
          <wp:inline distT="0" distB="0" distL="0" distR="0" wp14:anchorId="4CA62DE7">
            <wp:extent cx="6168232" cy="4032686"/>
            <wp:effectExtent l="0" t="0" r="444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462" cy="4038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C76ED" w:rsidRPr="00B8491F" w:rsidSect="000017AE">
      <w:footerReference w:type="defaul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A98" w:rsidRDefault="00B41A98" w:rsidP="00C658FD">
      <w:pPr>
        <w:spacing w:after="0" w:line="240" w:lineRule="auto"/>
      </w:pPr>
      <w:r>
        <w:separator/>
      </w:r>
    </w:p>
  </w:endnote>
  <w:endnote w:type="continuationSeparator" w:id="0">
    <w:p w:rsidR="00B41A98" w:rsidRDefault="00B41A98" w:rsidP="00C6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8FD" w:rsidRDefault="00C247C6">
    <w:pPr>
      <w:pStyle w:val="Footer"/>
      <w:pBdr>
        <w:top w:val="single" w:sz="4" w:space="8" w:color="B01513" w:themeColor="accent1"/>
      </w:pBdr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>LEB guidance Ver 0.2</w:t>
    </w:r>
    <w:r>
      <w:rPr>
        <w:noProof/>
        <w:color w:val="404040" w:themeColor="text1" w:themeTint="BF"/>
      </w:rPr>
      <w:tab/>
      <w:t>16Sep15</w:t>
    </w:r>
    <w:r>
      <w:rPr>
        <w:noProof/>
        <w:color w:val="404040" w:themeColor="text1" w:themeTint="BF"/>
      </w:rPr>
      <w:tab/>
    </w:r>
    <w:r w:rsidR="00C658FD">
      <w:rPr>
        <w:noProof/>
        <w:color w:val="404040" w:themeColor="text1" w:themeTint="BF"/>
      </w:rPr>
      <w:fldChar w:fldCharType="begin"/>
    </w:r>
    <w:r w:rsidR="00C658FD">
      <w:rPr>
        <w:noProof/>
        <w:color w:val="404040" w:themeColor="text1" w:themeTint="BF"/>
      </w:rPr>
      <w:instrText xml:space="preserve"> PAGE   \* MERGEFORMAT </w:instrText>
    </w:r>
    <w:r w:rsidR="00C658FD">
      <w:rPr>
        <w:noProof/>
        <w:color w:val="404040" w:themeColor="text1" w:themeTint="BF"/>
      </w:rPr>
      <w:fldChar w:fldCharType="separate"/>
    </w:r>
    <w:r w:rsidR="00421BB5">
      <w:rPr>
        <w:noProof/>
        <w:color w:val="404040" w:themeColor="text1" w:themeTint="BF"/>
      </w:rPr>
      <w:t>7</w:t>
    </w:r>
    <w:r w:rsidR="00C658FD">
      <w:rPr>
        <w:noProof/>
        <w:color w:val="404040" w:themeColor="text1" w:themeTint="BF"/>
      </w:rPr>
      <w:fldChar w:fldCharType="end"/>
    </w:r>
  </w:p>
  <w:p w:rsidR="00C658FD" w:rsidRDefault="00C658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A98" w:rsidRDefault="00B41A98" w:rsidP="00C658FD">
      <w:pPr>
        <w:spacing w:after="0" w:line="240" w:lineRule="auto"/>
      </w:pPr>
      <w:r>
        <w:separator/>
      </w:r>
    </w:p>
  </w:footnote>
  <w:footnote w:type="continuationSeparator" w:id="0">
    <w:p w:rsidR="00B41A98" w:rsidRDefault="00B41A98" w:rsidP="00C65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274F6"/>
    <w:multiLevelType w:val="hybridMultilevel"/>
    <w:tmpl w:val="1A9A06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91"/>
    <w:rsid w:val="000017AE"/>
    <w:rsid w:val="00074CE0"/>
    <w:rsid w:val="00172C0D"/>
    <w:rsid w:val="00421BB5"/>
    <w:rsid w:val="004A19D6"/>
    <w:rsid w:val="004C76ED"/>
    <w:rsid w:val="004E58AA"/>
    <w:rsid w:val="005109E6"/>
    <w:rsid w:val="00520E6E"/>
    <w:rsid w:val="005C2DD7"/>
    <w:rsid w:val="005F3C55"/>
    <w:rsid w:val="00632401"/>
    <w:rsid w:val="006C2798"/>
    <w:rsid w:val="00742B0D"/>
    <w:rsid w:val="007A4B90"/>
    <w:rsid w:val="007A70DD"/>
    <w:rsid w:val="00852424"/>
    <w:rsid w:val="00855933"/>
    <w:rsid w:val="00881AAD"/>
    <w:rsid w:val="008B141C"/>
    <w:rsid w:val="00915E8E"/>
    <w:rsid w:val="009D69B5"/>
    <w:rsid w:val="00A42336"/>
    <w:rsid w:val="00B41A98"/>
    <w:rsid w:val="00B672B3"/>
    <w:rsid w:val="00B8491F"/>
    <w:rsid w:val="00BA510D"/>
    <w:rsid w:val="00BD17CF"/>
    <w:rsid w:val="00C247C6"/>
    <w:rsid w:val="00C658FD"/>
    <w:rsid w:val="00C861A7"/>
    <w:rsid w:val="00D14206"/>
    <w:rsid w:val="00D31581"/>
    <w:rsid w:val="00D73FF2"/>
    <w:rsid w:val="00D9777C"/>
    <w:rsid w:val="00DE06FA"/>
    <w:rsid w:val="00E41FE3"/>
    <w:rsid w:val="00F9228A"/>
    <w:rsid w:val="00FB6991"/>
    <w:rsid w:val="00FE6F08"/>
    <w:rsid w:val="00FF0C91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697FB-C618-466E-BB34-58FBE634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C91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8A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3E6273" w:themeColor="accent5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8A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4E58AA"/>
    <w:rPr>
      <w:rFonts w:asciiTheme="majorHAnsi" w:eastAsiaTheme="majorEastAsia" w:hAnsiTheme="majorHAnsi" w:cstheme="majorBidi"/>
      <w:b/>
      <w:color w:val="3E6273" w:themeColor="accent5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58AA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FF0C91"/>
    <w:pPr>
      <w:spacing w:after="0" w:line="240" w:lineRule="auto"/>
      <w:contextualSpacing/>
    </w:pPr>
    <w:rPr>
      <w:rFonts w:asciiTheme="majorHAnsi" w:eastAsiaTheme="majorEastAsia" w:hAnsiTheme="majorHAnsi" w:cstheme="majorBidi"/>
      <w:color w:val="3E6273" w:themeColor="accent5" w:themeShade="BF"/>
      <w:kern w:val="28"/>
      <w:sz w:val="5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F0C91"/>
    <w:rPr>
      <w:rFonts w:asciiTheme="majorHAnsi" w:eastAsiaTheme="majorEastAsia" w:hAnsiTheme="majorHAnsi" w:cstheme="majorBidi"/>
      <w:color w:val="3E6273" w:themeColor="accent5" w:themeShade="BF"/>
      <w:kern w:val="28"/>
      <w:sz w:val="5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8F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C65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8F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Eastlake\AppData\Roaming\Microsoft\Templates\Ion%20design%20(blank)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MLTB vs LUB test data - Consistently 11% lower  CO2 (tailpipe)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MLTB Test Data</c:v>
          </c:tx>
          <c:spPr>
            <a:solidFill>
              <a:schemeClr val="accent1"/>
            </a:solidFill>
            <a:ln w="25400">
              <a:noFill/>
            </a:ln>
            <a:effectLst/>
          </c:spPr>
          <c:invertIfNegative val="0"/>
          <c:cat>
            <c:strRef>
              <c:f>('Tfl and LowCVP Test Data'!$C$13:$C$16,'Tfl and LowCVP Test Data'!$C$25:$C$27)</c:f>
              <c:strCache>
                <c:ptCount val="7"/>
                <c:pt idx="0">
                  <c:v>Vehicle 1</c:v>
                </c:pt>
                <c:pt idx="1">
                  <c:v>Vehicle 2</c:v>
                </c:pt>
                <c:pt idx="2">
                  <c:v>Vehicle 3</c:v>
                </c:pt>
                <c:pt idx="3">
                  <c:v>Vehicle 4</c:v>
                </c:pt>
                <c:pt idx="4">
                  <c:v>Vehicle 5</c:v>
                </c:pt>
                <c:pt idx="5">
                  <c:v>Vehicle 6</c:v>
                </c:pt>
                <c:pt idx="6">
                  <c:v>Vehicle 7</c:v>
                </c:pt>
              </c:strCache>
            </c:strRef>
          </c:cat>
          <c:val>
            <c:numRef>
              <c:f>('Tfl and LowCVP Test Data'!$Q$13:$Q$16,'Tfl and LowCVP Test Data'!$Q$25:$Q$27)</c:f>
              <c:numCache>
                <c:formatCode>General</c:formatCode>
                <c:ptCount val="7"/>
                <c:pt idx="0">
                  <c:v>861.52361111111111</c:v>
                </c:pt>
                <c:pt idx="1">
                  <c:v>749.51805555555563</c:v>
                </c:pt>
                <c:pt idx="2">
                  <c:v>1305.036111111111</c:v>
                </c:pt>
                <c:pt idx="3">
                  <c:v>750.01111111111106</c:v>
                </c:pt>
                <c:pt idx="4">
                  <c:v>889.56805555555559</c:v>
                </c:pt>
                <c:pt idx="5">
                  <c:v>761.27638888888873</c:v>
                </c:pt>
                <c:pt idx="6">
                  <c:v>985.02499999999998</c:v>
                </c:pt>
              </c:numCache>
            </c:numRef>
          </c:val>
        </c:ser>
        <c:ser>
          <c:idx val="1"/>
          <c:order val="1"/>
          <c:tx>
            <c:v>LUB Test Data </c:v>
          </c:tx>
          <c:spPr>
            <a:solidFill>
              <a:schemeClr val="accent2"/>
            </a:solidFill>
            <a:ln w="25400">
              <a:noFill/>
            </a:ln>
            <a:effectLst/>
          </c:spPr>
          <c:invertIfNegative val="0"/>
          <c:cat>
            <c:strRef>
              <c:f>('Tfl and LowCVP Test Data'!$C$13:$C$16,'Tfl and LowCVP Test Data'!$C$25:$C$27)</c:f>
              <c:strCache>
                <c:ptCount val="7"/>
                <c:pt idx="0">
                  <c:v>Vehicle 1</c:v>
                </c:pt>
                <c:pt idx="1">
                  <c:v>Vehicle 2</c:v>
                </c:pt>
                <c:pt idx="2">
                  <c:v>Vehicle 3</c:v>
                </c:pt>
                <c:pt idx="3">
                  <c:v>Vehicle 4</c:v>
                </c:pt>
                <c:pt idx="4">
                  <c:v>Vehicle 5</c:v>
                </c:pt>
                <c:pt idx="5">
                  <c:v>Vehicle 6</c:v>
                </c:pt>
                <c:pt idx="6">
                  <c:v>Vehicle 7</c:v>
                </c:pt>
              </c:strCache>
            </c:strRef>
          </c:cat>
          <c:val>
            <c:numRef>
              <c:f>('Tfl and LowCVP Test Data'!$S$13:$S$16,'Tfl and LowCVP Test Data'!$S$25:$S$27)</c:f>
              <c:numCache>
                <c:formatCode>General</c:formatCode>
                <c:ptCount val="7"/>
                <c:pt idx="0">
                  <c:v>763.59832317073176</c:v>
                </c:pt>
                <c:pt idx="1">
                  <c:v>660.36021341463425</c:v>
                </c:pt>
                <c:pt idx="2">
                  <c:v>1167.3225609756098</c:v>
                </c:pt>
                <c:pt idx="3">
                  <c:v>640.42743902439031</c:v>
                </c:pt>
                <c:pt idx="4">
                  <c:v>796.31539634146338</c:v>
                </c:pt>
                <c:pt idx="5">
                  <c:v>677.58582317073183</c:v>
                </c:pt>
                <c:pt idx="6">
                  <c:v>886.81707317073187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89785448"/>
        <c:axId val="289785056"/>
      </c:barChart>
      <c:catAx>
        <c:axId val="289785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9785056"/>
        <c:crosses val="autoZero"/>
        <c:auto val="1"/>
        <c:lblAlgn val="ctr"/>
        <c:lblOffset val="100"/>
        <c:noMultiLvlLbl val="0"/>
      </c:catAx>
      <c:valAx>
        <c:axId val="289785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Tailpipe CO2 (g/km)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9785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7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AndyEastlake</dc:creator>
  <cp:keywords/>
  <cp:lastModifiedBy>CatherineDove</cp:lastModifiedBy>
  <cp:revision>2</cp:revision>
  <dcterms:created xsi:type="dcterms:W3CDTF">2015-09-30T17:11:00Z</dcterms:created>
  <dcterms:modified xsi:type="dcterms:W3CDTF">2015-09-30T17:11:00Z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